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before="0" w:line="240" w:lineRule="exact"/>
        <w:jc w:val="both"/>
      </w:pPr>
      <w:r>
        <w:rPr>
          <w:rFonts w:ascii="Times New Roman" w:hAnsi="Times New Roman"/>
          <w:b/>
          <w:sz w:val="24"/>
        </w:rPr>
        <w:t>Bronstein, Gewirtz &amp; Grossman LLC Urges Roblox Corporation Investors to Act: Class Action Filed Alleging Investor Harm</w:t>
      </w:r>
    </w:p>
    <w:p>
      <w:pPr>
        <w:spacing w:after="0" w:before="0" w:line="240" w:lineRule="exact"/>
        <w:jc w:val="both"/>
      </w:pPr>
    </w:p>
    <w:p>
      <w:pPr>
        <w:spacing w:after="0" w:before="0" w:line="240" w:lineRule="exact"/>
        <w:jc w:val="both"/>
      </w:pPr>
      <w:r>
        <w:rPr>
          <w:rFonts w:ascii="Times New Roman" w:hAnsi="Times New Roman"/>
          <w:sz w:val="24"/>
        </w:rPr>
        <w:t>NEW YORK, NY - June 9, 2026 - Bronstein, Gewirtz &amp; Grossman, LLC, a nationally recognized investor-rights law firm, announces that a class action lawsuit has been filed against Roblox Corporation (NYSE: RBLX) and certain of its officers.</w:t>
      </w:r>
    </w:p>
    <w:p>
      <w:pPr>
        <w:spacing w:after="0" w:before="0" w:line="240" w:lineRule="exact"/>
        <w:jc w:val="both"/>
      </w:pPr>
    </w:p>
    <w:p>
      <w:pPr>
        <w:spacing w:after="0" w:before="0" w:line="240" w:lineRule="exact"/>
        <w:jc w:val="both"/>
      </w:pPr>
      <w:r>
        <w:rPr>
          <w:rFonts w:ascii="Times New Roman" w:hAnsi="Times New Roman"/>
          <w:sz w:val="24"/>
        </w:rPr>
        <w:t xml:space="preserve">This lawsuit seeks to recover damages against Defendants for alleged violations of the federal securities laws on behalf of all persons and entities that purchased or otherwise acquired Roblox securities between October 30, 2025 and April 30, 2026, both dates inclusive (the “Class Period”). Such investors are encouraged to join this case by visiting the firm’s site: </w:t>
      </w:r>
      <w:hyperlink r:id="rId9">
        <w:r>
          <w:rPr>
            <w:rFonts w:ascii="Times New Roman" w:hAnsi="Times New Roman"/>
            <w:sz w:val="24"/>
            <w:color w:val="0000FF"/>
            <w:u w:val="single"/>
          </w:rPr>
          <w:t>bgandg.com/RBLX.</w:t>
        </w:r>
      </w:hyperlink>
    </w:p>
    <w:p>
      <w:pPr>
        <w:spacing w:after="0" w:before="0" w:line="240" w:lineRule="exact"/>
        <w:jc w:val="both"/>
      </w:pPr>
    </w:p>
    <w:p>
      <w:pPr>
        <w:spacing w:after="0" w:before="0" w:line="240" w:lineRule="exact"/>
        <w:jc w:val="both"/>
      </w:pPr>
      <w:r>
        <w:rPr>
          <w:rFonts w:ascii="Times New Roman" w:hAnsi="Times New Roman"/>
          <w:b/>
          <w:sz w:val="24"/>
        </w:rPr>
        <w:t>Roblox Case Details</w:t>
      </w:r>
    </w:p>
    <w:p>
      <w:pPr>
        <w:spacing w:after="0" w:before="0" w:line="240" w:lineRule="exact"/>
        <w:jc w:val="both"/>
      </w:pPr>
    </w:p>
    <w:p>
      <w:pPr>
        <w:spacing w:after="0" w:before="0" w:line="240" w:lineRule="exact"/>
        <w:jc w:val="both"/>
      </w:pPr>
      <w:r>
        <w:rPr>
          <w:rFonts w:ascii="Times New Roman" w:hAnsi="Times New Roman"/>
          <w:sz w:val="24"/>
        </w:rPr>
        <w:t xml:space="preserve">The Complaint alleges that, throughout the Class Period, Defendants made materially false and misleading statements and/or failed to disclose that: </w:t>
      </w:r>
    </w:p>
    <w:p>
      <w:pPr>
        <w:spacing w:after="0" w:before="0" w:line="240" w:lineRule="exact"/>
        <w:jc w:val="both"/>
      </w:pPr>
      <w:r>
        <w:rPr>
          <w:rFonts w:ascii="Times New Roman" w:hAnsi="Times New Roman"/>
          <w:sz w:val="24"/>
        </w:rPr>
        <w:t xml:space="preserve">(1) Defendants overstated Roblox’s organic growth potential and the Company’s ability to sustain “tremendous organic growth” following the rollout of its age verification features; </w:t>
      </w:r>
    </w:p>
    <w:p>
      <w:pPr>
        <w:spacing w:after="0" w:before="0" w:line="240" w:lineRule="exact"/>
        <w:jc w:val="both"/>
      </w:pPr>
      <w:r>
        <w:rPr>
          <w:rFonts w:ascii="Times New Roman" w:hAnsi="Times New Roman"/>
          <w:sz w:val="24"/>
        </w:rPr>
        <w:t xml:space="preserve">(2) Defendants downplayed and failed to adequately disclose the severity and certainty of headwinds associated with the age verification rollout, including a slowdown in user enrollment, reduced on-platform communication, and associated negative impacts on app store ratings; </w:t>
      </w:r>
    </w:p>
    <w:p>
      <w:pPr>
        <w:spacing w:after="0" w:before="0" w:line="240" w:lineRule="exact"/>
        <w:jc w:val="both"/>
      </w:pPr>
      <w:r>
        <w:rPr>
          <w:rFonts w:ascii="Times New Roman" w:hAnsi="Times New Roman"/>
          <w:sz w:val="24"/>
        </w:rPr>
        <w:t xml:space="preserve">(3) as a result of these undisclosed trends, Roblox’s growth rates were expected to decline more sharply than represented; and </w:t>
      </w:r>
    </w:p>
    <w:p>
      <w:pPr>
        <w:spacing w:after="0" w:before="0" w:line="240" w:lineRule="exact"/>
        <w:jc w:val="both"/>
      </w:pPr>
      <w:r>
        <w:rPr>
          <w:rFonts w:ascii="Times New Roman" w:hAnsi="Times New Roman"/>
          <w:sz w:val="24"/>
        </w:rPr>
        <w:t>(4) as a result of the foregoing, Defendants’ statements about the Company’s business, operations, and prospects were materially false and misleading at all relevant times.</w:t>
      </w:r>
    </w:p>
    <w:p>
      <w:pPr>
        <w:spacing w:after="0" w:before="0" w:line="240" w:lineRule="exact"/>
        <w:jc w:val="both"/>
      </w:pPr>
    </w:p>
    <w:p>
      <w:pPr>
        <w:spacing w:after="0" w:before="0" w:line="240" w:lineRule="exact"/>
        <w:jc w:val="both"/>
      </w:pPr>
      <w:r>
        <w:rPr>
          <w:rFonts w:ascii="Times New Roman" w:hAnsi="Times New Roman"/>
          <w:b/>
          <w:sz w:val="24"/>
        </w:rPr>
        <w:t>What's Next for Roblox Investors?</w:t>
      </w:r>
    </w:p>
    <w:p>
      <w:pPr>
        <w:spacing w:after="0" w:before="0" w:line="240" w:lineRule="exact"/>
        <w:jc w:val="both"/>
      </w:pPr>
    </w:p>
    <w:p>
      <w:pPr>
        <w:spacing w:after="0" w:before="0" w:line="240" w:lineRule="exact"/>
        <w:jc w:val="both"/>
      </w:pPr>
      <w:r>
        <w:rPr>
          <w:rFonts w:ascii="Times New Roman" w:hAnsi="Times New Roman"/>
          <w:sz w:val="24"/>
        </w:rPr>
        <w:t xml:space="preserve">A class action lawsuit has already been filed. If you wish to review a copy of the Complaint, you can visit the firm’s site: </w:t>
      </w:r>
      <w:hyperlink r:id="rId9">
        <w:r>
          <w:rPr>
            <w:rFonts w:ascii="Times New Roman" w:hAnsi="Times New Roman"/>
            <w:sz w:val="24"/>
            <w:color w:val="0000FF"/>
            <w:u w:val="single"/>
          </w:rPr>
          <w:t>bgandg.com/RBLX.</w:t>
        </w:r>
      </w:hyperlink>
      <w:r>
        <w:rPr>
          <w:rFonts w:ascii="Times New Roman" w:hAnsi="Times New Roman"/>
          <w:sz w:val="24"/>
        </w:rPr>
        <w:t xml:space="preserve"> or you may contact Peretz Bronstein, Esq. or his Client Relations Manager, Nathan Miller, of Bronstein, Gewirtz &amp; Grossman, LLC at </w:t>
      </w:r>
      <w:hyperlink r:id="rId10">
        <w:r>
          <w:rPr>
            <w:rFonts w:ascii="Times New Roman" w:hAnsi="Times New Roman"/>
            <w:sz w:val="24"/>
            <w:color w:val="0000FF"/>
            <w:u w:val="single"/>
          </w:rPr>
          <w:t>917-590-0911</w:t>
        </w:r>
      </w:hyperlink>
      <w:r>
        <w:rPr>
          <w:rFonts w:ascii="Times New Roman" w:hAnsi="Times New Roman"/>
          <w:sz w:val="24"/>
        </w:rPr>
        <w:t>. If you suffered a loss in Roblox you have until August 4, 2026, to request that the Court appoint you as lead plaintiff. Your ability to share in any recovery doesn't require that you serve as lead plaintiff.</w:t>
      </w:r>
    </w:p>
    <w:p>
      <w:pPr>
        <w:spacing w:after="0" w:before="0" w:line="240" w:lineRule="exact"/>
        <w:jc w:val="both"/>
      </w:pPr>
    </w:p>
    <w:p>
      <w:pPr>
        <w:spacing w:after="0" w:before="0" w:line="240" w:lineRule="exact"/>
        <w:jc w:val="both"/>
      </w:pPr>
      <w:r>
        <w:rPr>
          <w:rFonts w:ascii="Times New Roman" w:hAnsi="Times New Roman"/>
          <w:b/>
          <w:sz w:val="24"/>
        </w:rPr>
        <w:t>No Cost to Roblox Investors</w:t>
      </w:r>
    </w:p>
    <w:p>
      <w:pPr>
        <w:spacing w:after="0" w:before="0" w:line="240" w:lineRule="exact"/>
        <w:jc w:val="both"/>
      </w:pPr>
    </w:p>
    <w:p>
      <w:pPr>
        <w:spacing w:after="0" w:before="0" w:line="240" w:lineRule="exact"/>
        <w:jc w:val="both"/>
      </w:pPr>
      <w:r>
        <w:rPr>
          <w:rFonts w:ascii="Times New Roman" w:hAnsi="Times New Roman"/>
          <w:sz w:val="24"/>
        </w:rPr>
        <w:t>We, Bronstein, Gewirtz &amp; Grossman LLC, represent investors in class actions on a contingency fee basis. That means we will ask the court to reimburse us for out-of-pocket expenses and attorneys’ fees, usually a percentage of the total recovery, only if we are successful.</w:t>
      </w:r>
    </w:p>
    <w:p>
      <w:pPr>
        <w:spacing w:after="0" w:before="0" w:line="240" w:lineRule="exact"/>
        <w:jc w:val="both"/>
      </w:pPr>
    </w:p>
    <w:p>
      <w:pPr>
        <w:spacing w:after="0" w:before="0" w:line="240" w:lineRule="exact"/>
        <w:jc w:val="both"/>
      </w:pPr>
      <w:r>
        <w:rPr>
          <w:rFonts w:ascii="Times New Roman" w:hAnsi="Times New Roman"/>
          <w:b/>
          <w:sz w:val="24"/>
        </w:rPr>
        <w:t>Why Bronstein, Gewirtz &amp; Grossman, LLC for Roblox Securities Class Action?</w:t>
      </w:r>
    </w:p>
    <w:p>
      <w:pPr>
        <w:spacing w:after="0" w:before="0" w:line="240" w:lineRule="exact"/>
        <w:jc w:val="both"/>
      </w:pPr>
    </w:p>
    <w:p>
      <w:pPr>
        <w:spacing w:after="0" w:before="0" w:line="240" w:lineRule="exact"/>
        <w:jc w:val="both"/>
      </w:pPr>
      <w:r>
        <w:rPr>
          <w:rFonts w:ascii="Times New Roman" w:hAnsi="Times New Roman"/>
          <w:sz w:val="24"/>
        </w:rPr>
        <w:t xml:space="preserve">Bronstein, Gewirtz &amp; Grossman, LLC is a nationally recognized firm that represents investors in securities fraud class actions and shareholder derivative suits. Our firm has recovered hundreds of millions of dollars for investors nationwide. More at </w:t>
      </w:r>
      <w:hyperlink r:id="rId11">
        <w:r>
          <w:rPr>
            <w:rFonts w:ascii="Times New Roman" w:hAnsi="Times New Roman"/>
            <w:sz w:val="24"/>
            <w:color w:val="0000FF"/>
            <w:u w:val="single"/>
          </w:rPr>
          <w:t>www.bgandg.com</w:t>
        </w:r>
      </w:hyperlink>
    </w:p>
    <w:p>
      <w:pPr>
        <w:spacing w:after="0" w:before="0" w:line="240" w:lineRule="exact"/>
        <w:jc w:val="both"/>
      </w:pPr>
    </w:p>
    <w:p>
      <w:pPr>
        <w:spacing w:after="0" w:before="0" w:line="240" w:lineRule="exact"/>
        <w:jc w:val="both"/>
      </w:pPr>
      <w:r>
        <w:rPr>
          <w:rFonts w:ascii="Times New Roman" w:hAnsi="Times New Roman"/>
          <w:sz w:val="24"/>
        </w:rPr>
        <w:t xml:space="preserve">"Our practice centers on restoring investor capital and ensuring corporate accountability, which serves to uphold the essential integrity of the marketplace," said </w:t>
      </w:r>
      <w:hyperlink r:id="rId12">
        <w:r>
          <w:rPr>
            <w:rFonts w:ascii="Times New Roman" w:hAnsi="Times New Roman"/>
            <w:sz w:val="24"/>
            <w:color w:val="0000FF"/>
            <w:u w:val="single"/>
          </w:rPr>
          <w:t>Peretz Bronstein</w:t>
        </w:r>
      </w:hyperlink>
      <w:r>
        <w:rPr>
          <w:rFonts w:ascii="Times New Roman" w:hAnsi="Times New Roman"/>
          <w:sz w:val="24"/>
        </w:rPr>
        <w:t>, Founding Partner of Bronstein, Gewirtz &amp; Grossman, LLC.</w:t>
      </w:r>
    </w:p>
    <w:p>
      <w:pPr>
        <w:spacing w:after="0" w:before="0" w:line="240" w:lineRule="exact"/>
        <w:jc w:val="both"/>
      </w:pPr>
    </w:p>
    <w:p>
      <w:pPr>
        <w:spacing w:after="0" w:before="0" w:line="240" w:lineRule="exact"/>
        <w:jc w:val="both"/>
      </w:pPr>
      <w:r>
        <w:rPr>
          <w:rFonts w:ascii="Times New Roman" w:hAnsi="Times New Roman"/>
          <w:sz w:val="24"/>
        </w:rPr>
        <w:t xml:space="preserve">Follow us for updates on </w:t>
      </w:r>
      <w:hyperlink r:id="rId13">
        <w:r>
          <w:rPr>
            <w:rFonts w:ascii="Times New Roman" w:hAnsi="Times New Roman"/>
            <w:sz w:val="24"/>
            <w:color w:val="0000FF"/>
            <w:u w:val="single"/>
          </w:rPr>
          <w:t>LinkedIn</w:t>
        </w:r>
      </w:hyperlink>
      <w:r>
        <w:rPr>
          <w:rFonts w:ascii="Times New Roman" w:hAnsi="Times New Roman"/>
          <w:sz w:val="24"/>
        </w:rPr>
        <w:t xml:space="preserve">, </w:t>
      </w:r>
      <w:hyperlink r:id="rId14">
        <w:r>
          <w:rPr>
            <w:rFonts w:ascii="Times New Roman" w:hAnsi="Times New Roman"/>
            <w:sz w:val="24"/>
            <w:color w:val="0000FF"/>
            <w:u w:val="single"/>
          </w:rPr>
          <w:t>X</w:t>
        </w:r>
      </w:hyperlink>
      <w:r>
        <w:rPr>
          <w:rFonts w:ascii="Times New Roman" w:hAnsi="Times New Roman"/>
          <w:sz w:val="24"/>
        </w:rPr>
        <w:t xml:space="preserve">, </w:t>
      </w:r>
      <w:hyperlink r:id="rId15">
        <w:r>
          <w:rPr>
            <w:rFonts w:ascii="Times New Roman" w:hAnsi="Times New Roman"/>
            <w:sz w:val="24"/>
            <w:color w:val="0000FF"/>
            <w:u w:val="single"/>
          </w:rPr>
          <w:t>Facebook</w:t>
        </w:r>
      </w:hyperlink>
      <w:r>
        <w:rPr>
          <w:rFonts w:ascii="Times New Roman" w:hAnsi="Times New Roman"/>
          <w:sz w:val="24"/>
        </w:rPr>
        <w:t xml:space="preserve">, or </w:t>
      </w:r>
      <w:hyperlink r:id="rId16">
        <w:r>
          <w:rPr>
            <w:rFonts w:ascii="Times New Roman" w:hAnsi="Times New Roman"/>
            <w:sz w:val="24"/>
            <w:color w:val="0000FF"/>
            <w:u w:val="single"/>
          </w:rPr>
          <w:t>Instagram</w:t>
        </w:r>
      </w:hyperlink>
      <w:r>
        <w:rPr>
          <w:rFonts w:ascii="Times New Roman" w:hAnsi="Times New Roman"/>
          <w:sz w:val="24"/>
        </w:rPr>
        <w:t>.</w:t>
      </w:r>
    </w:p>
    <w:p>
      <w:pPr>
        <w:spacing w:after="0" w:before="0" w:line="240" w:lineRule="exact"/>
        <w:jc w:val="both"/>
      </w:pPr>
    </w:p>
    <w:p>
      <w:pPr>
        <w:spacing w:after="0" w:before="0" w:line="240" w:lineRule="exact"/>
        <w:jc w:val="both"/>
      </w:pPr>
    </w:p>
    <w:p>
      <w:pPr>
        <w:spacing w:after="0" w:before="0" w:line="240" w:lineRule="exact"/>
        <w:jc w:val="both"/>
      </w:pPr>
      <w:r>
        <w:rPr>
          <w:rFonts w:ascii="Times New Roman" w:hAnsi="Times New Roman"/>
          <w:b/>
          <w:sz w:val="24"/>
        </w:rPr>
        <w:t>Contact Info</w:t>
      </w:r>
    </w:p>
    <w:p>
      <w:pPr>
        <w:spacing w:after="0" w:before="0" w:line="240" w:lineRule="exact"/>
        <w:jc w:val="both"/>
      </w:pPr>
    </w:p>
    <w:p>
      <w:pPr>
        <w:spacing w:after="0" w:before="0" w:line="240" w:lineRule="exact"/>
        <w:jc w:val="both"/>
      </w:pPr>
      <w:r>
        <w:rPr>
          <w:rFonts w:ascii="Times New Roman" w:hAnsi="Times New Roman"/>
          <w:sz w:val="24"/>
        </w:rPr>
        <w:t>Peretz Bronstein, Esq. or Nathan Miller</w:t>
      </w:r>
    </w:p>
    <w:p>
      <w:pPr>
        <w:spacing w:after="0" w:before="0" w:line="240" w:lineRule="exact"/>
        <w:jc w:val="both"/>
      </w:pPr>
      <w:r>
        <w:rPr>
          <w:rFonts w:ascii="Times New Roman" w:hAnsi="Times New Roman"/>
          <w:sz w:val="24"/>
        </w:rPr>
        <w:t>Bronstein, Gewirtz &amp; Grossman, LLC</w:t>
      </w:r>
    </w:p>
    <w:p>
      <w:pPr>
        <w:spacing w:after="0" w:before="0" w:line="240" w:lineRule="exact"/>
        <w:jc w:val="both"/>
      </w:pPr>
      <w:hyperlink r:id="rId10">
        <w:r>
          <w:rPr>
            <w:rFonts w:ascii="Times New Roman" w:hAnsi="Times New Roman"/>
            <w:sz w:val="24"/>
            <w:color w:val="0000FF"/>
            <w:u w:val="single"/>
          </w:rPr>
          <w:t>917-590-0911</w:t>
        </w:r>
      </w:hyperlink>
      <w:r>
        <w:rPr>
          <w:rFonts w:ascii="Times New Roman" w:hAnsi="Times New Roman"/>
          <w:sz w:val="24"/>
        </w:rPr>
        <w:t xml:space="preserve"> | </w:t>
      </w:r>
      <w:hyperlink r:id="rId17">
        <w:r>
          <w:rPr>
            <w:rFonts w:ascii="Times New Roman" w:hAnsi="Times New Roman"/>
            <w:sz w:val="24"/>
            <w:color w:val="0000FF"/>
            <w:u w:val="single"/>
          </w:rPr>
          <w:t>info@bgandg.com</w:t>
        </w:r>
      </w:hyperlink>
    </w:p>
    <w:p>
      <w:pPr>
        <w:spacing w:after="0" w:before="0" w:line="240" w:lineRule="exact"/>
        <w:jc w:val="both"/>
      </w:pPr>
    </w:p>
    <w:p>
      <w:pPr>
        <w:spacing w:after="0" w:before="0" w:line="240" w:lineRule="exact"/>
        <w:jc w:val="both"/>
      </w:pPr>
      <w:r>
        <w:rPr>
          <w:rFonts w:ascii="Times New Roman" w:hAnsi="Times New Roman"/>
          <w:sz w:val="24"/>
        </w:rPr>
        <w:t>Attorney advertising.</w:t>
      </w:r>
    </w:p>
    <w:p>
      <w:pPr>
        <w:spacing w:after="0" w:before="0" w:line="240" w:lineRule="exact"/>
        <w:jc w:val="both"/>
      </w:pPr>
      <w:r>
        <w:rPr>
          <w:rFonts w:ascii="Times New Roman" w:hAnsi="Times New Roman"/>
          <w:sz w:val="24"/>
        </w:rPr>
        <w:t>Prior results do not guarantee similar outcomes.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gandg.com/RBLX/?utm_source=prnewswire&amp;utm_medium=pressrelease&amp;utm_campaign=RBLX" TargetMode="External"/><Relationship Id="rId10" Type="http://schemas.openxmlformats.org/officeDocument/2006/relationships/hyperlink" Target="tel:+9175900911" TargetMode="External"/><Relationship Id="rId11" Type="http://schemas.openxmlformats.org/officeDocument/2006/relationships/hyperlink" Target="https://www.bgandg.com" TargetMode="External"/><Relationship Id="rId12" Type="http://schemas.openxmlformats.org/officeDocument/2006/relationships/hyperlink" Target="https://www.linkedin.com/in/peretz-bronstein-65a1b411" TargetMode="External"/><Relationship Id="rId13" Type="http://schemas.openxmlformats.org/officeDocument/2006/relationships/hyperlink" Target="https://www.linkedin.com/company/bronstein-gewirtz-&amp;-grossman-llc/" TargetMode="External"/><Relationship Id="rId14" Type="http://schemas.openxmlformats.org/officeDocument/2006/relationships/hyperlink" Target="https://x.com/bgandg_law" TargetMode="External"/><Relationship Id="rId15" Type="http://schemas.openxmlformats.org/officeDocument/2006/relationships/hyperlink" Target="https://www.facebook.com/BGandG/" TargetMode="External"/><Relationship Id="rId16" Type="http://schemas.openxmlformats.org/officeDocument/2006/relationships/hyperlink" Target="https://www.instagram.com/bg_and_g/" TargetMode="External"/><Relationship Id="rId17" Type="http://schemas.openxmlformats.org/officeDocument/2006/relationships/hyperlink" Target="mailto:info@bgand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